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ind w:left="0" w:firstLine="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河北师范大学艺术硕士（美术、艺术设计领域）</w:t>
      </w:r>
    </w:p>
    <w:p>
      <w:pPr>
        <w:snapToGrid w:val="0"/>
        <w:spacing w:after="0" w:line="240" w:lineRule="auto"/>
        <w:ind w:left="0" w:firstLine="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专业学位论文基本要求(试行) </w:t>
      </w:r>
    </w:p>
    <w:p>
      <w:pPr>
        <w:adjustRightInd w:val="0"/>
        <w:snapToGrid w:val="0"/>
        <w:spacing w:after="139" w:line="336" w:lineRule="auto"/>
        <w:ind w:left="0" w:right="161" w:firstLine="0"/>
        <w:jc w:val="center"/>
        <w:rPr>
          <w:rFonts w:hint="eastAsia" w:asciiTheme="majorEastAsia" w:hAnsiTheme="majorEastAsia" w:eastAsiaTheme="majorEastAsia" w:cstheme="majorEastAsia"/>
          <w:b/>
          <w:bCs/>
          <w:szCs w:val="32"/>
        </w:rPr>
      </w:pPr>
    </w:p>
    <w:p>
      <w:pPr>
        <w:adjustRightInd w:val="0"/>
        <w:snapToGrid w:val="0"/>
        <w:spacing w:line="336" w:lineRule="auto"/>
        <w:ind w:left="-1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加强我院艺术硕士专业学位研究生的培养工作，努力建立以提升职业能力为导向的考核体系和评价标准，切实提高专业学位研究生培养质量，根据国家《艺术硕士专业学位研究生指导性培养方案》及相关文件，特制定本试行要求。本要求将依据培养过程、社会需求等实际情况进行完善与补充。</w:t>
      </w:r>
    </w:p>
    <w:p>
      <w:pPr>
        <w:pStyle w:val="2"/>
        <w:adjustRightInd w:val="0"/>
        <w:snapToGrid w:val="0"/>
        <w:spacing w:line="336" w:lineRule="auto"/>
        <w:ind w:left="0"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一、艺术硕士专业学位论文概述</w:t>
      </w:r>
    </w:p>
    <w:p>
      <w:pPr>
        <w:adjustRightInd w:val="0"/>
        <w:snapToGrid w:val="0"/>
        <w:spacing w:line="336" w:lineRule="auto"/>
        <w:ind w:left="-1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艺术硕士专业是培养具有系统专业知识和高水平技能的高层次、应用型艺术专门人才的专业方向，培养目标有别于侧重艺术理论的学术型研究生教育，其培养过程突出专业和实践特点，注重艺术创作技能的提高并兼顾理论及内在素质的培养。同时，也有别于纯粹技艺训练的师傅带徒弟的培养模式，艺术硕士专业需要学生对本专业领域的相关历史、理论、技术、发展趋势有充分的了解和认识。</w:t>
      </w:r>
    </w:p>
    <w:p>
      <w:pPr>
        <w:adjustRightInd w:val="0"/>
        <w:snapToGrid w:val="0"/>
        <w:spacing w:line="336" w:lineRule="auto"/>
        <w:ind w:left="-1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艺术硕士专业学位论文包含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专业创作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论文（理论研究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）两部分。作品创作需体现艺术理念和实践方法的先进性、高水平和社会应用价值；论文（理论研究）主要围绕创作进行理论梳理与思考，是作品创作缘由、创作思路、方法技能和理论体系研究的详细阐述。</w:t>
      </w:r>
    </w:p>
    <w:p>
      <w:pPr>
        <w:pStyle w:val="2"/>
        <w:adjustRightInd w:val="0"/>
        <w:snapToGrid w:val="0"/>
        <w:spacing w:line="336" w:lineRule="auto"/>
        <w:ind w:left="0"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二、艺术硕士专业学位论文的基本要求</w:t>
      </w:r>
    </w:p>
    <w:p>
      <w:pPr>
        <w:adjustRightInd w:val="0"/>
        <w:snapToGrid w:val="0"/>
        <w:spacing w:line="336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艺术硕士专业学位论文由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专业创作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论文（理论研究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）两部分组成。</w:t>
      </w:r>
    </w:p>
    <w:p>
      <w:pPr>
        <w:adjustRightInd w:val="0"/>
        <w:snapToGrid w:val="0"/>
        <w:spacing w:line="336" w:lineRule="auto"/>
        <w:ind w:left="278" w:leftChars="87" w:firstLine="270" w:firstLineChars="96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（一）专业创作基本要求：</w:t>
      </w:r>
    </w:p>
    <w:p>
      <w:pPr>
        <w:adjustRightInd w:val="0"/>
        <w:snapToGrid w:val="0"/>
        <w:spacing w:after="0" w:line="336" w:lineRule="auto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1、创作必须符合社会及行业发展的趋势，有明确的创作目标，有具体针对的问题，并得到成功的解决，对社会文化和产业发展有现实效益。</w:t>
      </w:r>
    </w:p>
    <w:p>
      <w:pPr>
        <w:adjustRightInd w:val="0"/>
        <w:snapToGrid w:val="0"/>
        <w:spacing w:after="0" w:line="336" w:lineRule="auto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2、创作符合专业发展前沿，有一定前瞻性的探索。作品有明确的创作理念和主题概念，有相关理论体系的支持。</w:t>
      </w:r>
    </w:p>
    <w:p>
      <w:pPr>
        <w:adjustRightInd w:val="0"/>
        <w:snapToGrid w:val="0"/>
        <w:spacing w:after="0" w:line="336" w:lineRule="auto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3、作品的创作思路和手法科学规范，并有拓展创新。方法和技术应用符合专业和行业的规范要求，创新包括应用新科技或传统技艺的创新应用。作品完成的数量须体现较大创作工作量的要求。</w:t>
      </w:r>
    </w:p>
    <w:p>
      <w:pPr>
        <w:adjustRightInd w:val="0"/>
        <w:snapToGrid w:val="0"/>
        <w:spacing w:after="0" w:line="336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创作除完成成品外，最终须集结成册（A3横排），包括创作过程与作品最终图片。过程图片包括社会调研、构思草图、创作小稿、过程记录照片等，每页可多幅图片，标注标题序号和文字简介；作品最终图片包括多角度实物照片、展示效果图等，每页1幅图片，标注标题序号和文字简介。每项文字简介100字以内。作品集总页数不少于25页，须在答辩前完成，并制作不少于三册。</w:t>
      </w:r>
    </w:p>
    <w:p>
      <w:pPr>
        <w:adjustRightInd w:val="0"/>
        <w:snapToGrid w:val="0"/>
        <w:spacing w:after="0" w:line="336" w:lineRule="auto"/>
        <w:ind w:left="-15" w:firstLine="560" w:firstLineChars="200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作品集内容须作为外审论文“附录”一并提交。附录（作品集）是外审专家“专业学位论文评价”的重要依据，学生须认真对待。</w:t>
      </w:r>
    </w:p>
    <w:p>
      <w:pPr>
        <w:adjustRightInd w:val="0"/>
        <w:snapToGrid w:val="0"/>
        <w:spacing w:line="336" w:lineRule="auto"/>
        <w:ind w:left="278" w:leftChars="87" w:firstLine="270" w:firstLineChars="96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（二）论文（理论研究）基本要求：</w:t>
      </w:r>
    </w:p>
    <w:p>
      <w:pPr>
        <w:adjustRightInd w:val="0"/>
        <w:snapToGrid w:val="0"/>
        <w:spacing w:after="0" w:line="336" w:lineRule="auto"/>
        <w:ind w:left="0" w:right="169"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1、论文（理论研究）要求符合学术论文的格式要求，至少包含以下13个方面的基本内容：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（1）封面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（2）英文内页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（3）原创性声明和版权使用授权书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（4）中英文摘要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（5）目录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（6）引言（绪论）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（7）理论研究正文（含示意图片）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（8）结论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（9）参考文献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（10）后记（含致谢）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（11）攻读学位期间科研成果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（12）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附录（作品创作集）</w:t>
      </w:r>
    </w:p>
    <w:p>
      <w:pPr>
        <w:adjustRightInd w:val="0"/>
        <w:snapToGrid w:val="0"/>
        <w:spacing w:line="336" w:lineRule="auto"/>
        <w:ind w:left="640" w:leftChars="20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（13）封底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2、论文（理论研究）主要包括四部分：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（1）主题来源。重点阐述创作主题确定的缘由，涉及对本专业领域的思考、问题的提出，主题创作预期达成的目标。（参考字数1000字）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（2）文献理论。重点阐述本专业领域发展现状、创作前沿、文献综述，特别是专业发展前沿的理论体系，重点研究的理论和观点，为本创作提供的理论支持。（参考字数2000字）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研究主体。重点是作品的创作理念、思路、方法和技能的详细阐述。包括针对主题展开的社会调研、艺术考察、构思创作的过程，包括艺术理论对创作观念、思维和方法的指导内容，包括技术掌握和探索的水平，以及作品的创新点、特色优势和应用价值。（重点内容4000字以上）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（4）研究结论。重点是作品成果展示与评价，包含艺术理念的体现程度，作品满足创作目标程度，创新特色的合理评价，作品目前尚存在的不足和原因分析，后续改进的设想等。（参考字数1000字）</w:t>
      </w:r>
    </w:p>
    <w:p>
      <w:pPr>
        <w:adjustRightInd w:val="0"/>
        <w:snapToGrid w:val="0"/>
        <w:spacing w:line="336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论文（理论研究）正文部分字数在 8000字以上，核心内容不低于6000字（不含插图、表格等）。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3、论文外审：</w:t>
      </w:r>
    </w:p>
    <w:p>
      <w:pPr>
        <w:adjustRightInd w:val="0"/>
        <w:snapToGrid w:val="0"/>
        <w:spacing w:line="336" w:lineRule="auto"/>
        <w:ind w:left="-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（1）内容：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论文（理论研究）+附录（作品创作集）</w:t>
      </w:r>
    </w:p>
    <w:p>
      <w:pPr>
        <w:adjustRightInd w:val="0"/>
        <w:snapToGrid w:val="0"/>
        <w:spacing w:after="59" w:line="336" w:lineRule="auto"/>
        <w:ind w:left="0" w:right="99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（2）编辑：Word或WPS</w:t>
      </w:r>
    </w:p>
    <w:p>
      <w:pPr>
        <w:adjustRightInd w:val="0"/>
        <w:snapToGrid w:val="0"/>
        <w:spacing w:line="336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（3）提交：PDF文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件，大小控制在10MB以内。</w:t>
      </w:r>
    </w:p>
    <w:p>
      <w:pPr>
        <w:adjustRightInd w:val="0"/>
        <w:snapToGrid w:val="0"/>
        <w:spacing w:line="360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left="-15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widowControl w:val="0"/>
        <w:snapToGrid w:val="0"/>
        <w:spacing w:line="360" w:lineRule="auto"/>
        <w:jc w:val="center"/>
        <w:rPr>
          <w:b/>
          <w:sz w:val="40"/>
          <w:szCs w:val="40"/>
        </w:rPr>
      </w:pPr>
    </w:p>
    <w:p>
      <w:pPr>
        <w:widowControl w:val="0"/>
        <w:snapToGrid w:val="0"/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河北师范大学艺术硕士专业学位论文评阅意见表  </w:t>
      </w:r>
    </w:p>
    <w:p>
      <w:pPr>
        <w:rPr>
          <w:b/>
          <w:sz w:val="40"/>
          <w:szCs w:val="40"/>
        </w:rPr>
      </w:pPr>
      <w:r>
        <w:rPr>
          <w:rFonts w:hint="eastAsia" w:ascii="楷体_GB2312" w:eastAsia="楷体_GB2312"/>
          <w:szCs w:val="32"/>
        </w:rPr>
        <w:t>论文编号：</w:t>
      </w:r>
    </w:p>
    <w:tbl>
      <w:tblPr>
        <w:tblStyle w:val="6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1"/>
        <w:gridCol w:w="1615"/>
        <w:gridCol w:w="228"/>
        <w:gridCol w:w="1752"/>
        <w:gridCol w:w="1748"/>
        <w:gridCol w:w="85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作者姓名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专业领域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论文及创作题目</w:t>
            </w:r>
          </w:p>
        </w:tc>
        <w:tc>
          <w:tcPr>
            <w:tcW w:w="7151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133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评价说明</w:t>
            </w:r>
            <w:r>
              <w:rPr>
                <w:rFonts w:hint="eastAsia" w:ascii="仿宋_GB2312" w:eastAsia="仿宋_GB2312"/>
                <w:sz w:val="22"/>
              </w:rPr>
              <w:t>：</w:t>
            </w: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(1)</w:t>
            </w:r>
            <w:r>
              <w:rPr>
                <w:rFonts w:hint="eastAsia" w:ascii="仿宋_GB2312" w:eastAsia="仿宋_GB2312"/>
                <w:bCs/>
                <w:color w:val="auto"/>
                <w:sz w:val="22"/>
              </w:rPr>
              <w:t>艺术硕士专业学位论文评价是对论文和专业创作的综合评价。</w:t>
            </w:r>
          </w:p>
          <w:p>
            <w:pPr>
              <w:ind w:firstLine="1104" w:firstLineChars="5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(2)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请审阅论文在下列指标方面达到的程度，对论文与创作进行定量及</w:t>
            </w:r>
            <w:r>
              <w:rPr>
                <w:rFonts w:hint="eastAsia" w:ascii="仿宋_GB2312" w:eastAsia="仿宋_GB2312"/>
                <w:sz w:val="22"/>
              </w:rPr>
              <w:t>定性评价。</w:t>
            </w:r>
          </w:p>
          <w:p>
            <w:pPr>
              <w:ind w:firstLine="1104" w:firstLineChars="5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(3)“评价得分”</w:t>
            </w:r>
            <w:r>
              <w:rPr>
                <w:rFonts w:hint="eastAsia" w:ascii="仿宋_GB2312" w:eastAsia="仿宋_GB2312"/>
                <w:sz w:val="22"/>
              </w:rPr>
              <w:t>一列各项得分均不能超出该项满分，请勿留空白项。</w:t>
            </w:r>
          </w:p>
          <w:p>
            <w:pPr>
              <w:ind w:firstLine="1104" w:firstLineChars="5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(4)</w:t>
            </w:r>
            <w:r>
              <w:rPr>
                <w:rFonts w:hint="eastAsia" w:ascii="仿宋_GB2312" w:eastAsia="仿宋_GB2312"/>
                <w:sz w:val="22"/>
              </w:rPr>
              <w:t>评阅意见和修改建议请写在本页背面。</w:t>
            </w:r>
            <w:r>
              <w:rPr>
                <w:rFonts w:hint="eastAsia" w:ascii="仿宋_GB2312" w:eastAsia="仿宋_GB2312"/>
                <w:b/>
                <w:sz w:val="22"/>
              </w:rPr>
              <w:t>(5)</w:t>
            </w:r>
            <w:r>
              <w:rPr>
                <w:rFonts w:hint="eastAsia" w:ascii="仿宋_GB2312" w:eastAsia="仿宋_GB2312"/>
                <w:sz w:val="22"/>
              </w:rPr>
              <w:t>如有修改，请在涂改处签名确认。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 阅 专 家 对 学 位 论 文 的 评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评价指标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评价参考要素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该项满分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论文与创作选题的意义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选题的开创性、理论意义、现实意义和实用价值。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12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文献综述与学科理论基础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hint="eastAsia" w:ascii="仿宋_GB2312" w:hAnsi="宋体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体现作者对学科及相关领域发展状况的了解与判断、理论基础与专业知识掌握的程度。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楷体_GB2312" w:eastAsia="楷体_GB2312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8分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论文学术性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论文是否能够准确表达作品的创作理念、思路和方法，体现专业知识和学术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研究</w:t>
            </w:r>
            <w:r>
              <w:rPr>
                <w:rFonts w:hint="eastAsia" w:ascii="仿宋_GB2312" w:hAnsi="宋体" w:eastAsia="仿宋_GB2312"/>
                <w:sz w:val="22"/>
              </w:rPr>
              <w:t>能力，具有一定的学术价值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和社会应用价值</w:t>
            </w:r>
            <w:r>
              <w:rPr>
                <w:rFonts w:hint="eastAsia" w:ascii="仿宋_GB2312" w:hAnsi="宋体" w:eastAsia="仿宋_GB2312"/>
                <w:sz w:val="22"/>
              </w:rPr>
              <w:t>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20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写作与</w:t>
            </w:r>
            <w:r>
              <w:rPr>
                <w:rFonts w:hint="eastAsia" w:ascii="仿宋_GB2312" w:eastAsia="仿宋_GB2312"/>
                <w:sz w:val="24"/>
              </w:rPr>
              <w:t>规范性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hint="eastAsia" w:ascii="仿宋_GB2312" w:hAnsi="宋体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论文材料的翔实性，结构的严谨性，论述的逻辑性；文字表达的准确性，格式的规范性和学风的严谨性。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楷体_GB2312" w:eastAsia="楷体_GB2312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8分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作品创新性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艺术语言的创新程度；</w:t>
            </w:r>
            <w:r>
              <w:rPr>
                <w:rFonts w:hint="eastAsia" w:ascii="仿宋_GB2312" w:hAnsi="宋体" w:eastAsia="仿宋_GB2312"/>
                <w:sz w:val="22"/>
              </w:rPr>
              <w:t>结合艺术实践运用新思维、新视角、新方法进行探索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的力度；在工具材料、表现</w:t>
            </w:r>
            <w:r>
              <w:rPr>
                <w:rFonts w:hint="eastAsia" w:ascii="仿宋_GB2312" w:hAnsi="宋体" w:eastAsia="仿宋_GB2312"/>
                <w:sz w:val="22"/>
              </w:rPr>
              <w:t>形式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、跨界融合等方面有新的探索</w:t>
            </w:r>
            <w:r>
              <w:rPr>
                <w:rFonts w:hint="eastAsia" w:ascii="仿宋_GB2312" w:hAnsi="宋体" w:eastAsia="仿宋_GB2312"/>
                <w:sz w:val="22"/>
              </w:rPr>
              <w:t>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作品应用性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在国内外专业展览、学术刊物、会议上展览发表相关作品与论文情况；</w:t>
            </w:r>
            <w:r>
              <w:rPr>
                <w:rFonts w:hint="eastAsia" w:ascii="仿宋_GB2312" w:hAnsi="宋体" w:eastAsia="仿宋_GB2312"/>
                <w:sz w:val="22"/>
              </w:rPr>
              <w:t>作品对专业实践是否具有实际指导意义；是否具有一定的社会效益或经济效益。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12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理论研究与创作能力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textAlignment w:val="auto"/>
              <w:rPr>
                <w:rFonts w:hint="eastAsia" w:ascii="仿宋_GB2312" w:hAnsi="宋体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研究方法的实用性；引证资料的丰富性与准确性；创作过程的系统性；研究、创作的难度与工作量情况。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hint="eastAsia" w:ascii="楷体_GB2312" w:eastAsia="楷体_GB2312"/>
                <w:sz w:val="22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18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" w:firstLine="0" w:firstLineChars="0"/>
              <w:jc w:val="center"/>
              <w:textAlignment w:val="auto"/>
              <w:rPr>
                <w:rFonts w:ascii="楷体_GB2312" w:eastAsia="楷体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评价等级</w:t>
            </w:r>
          </w:p>
          <w:p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hint="eastAsia" w:ascii="楷体_GB2312" w:eastAsia="楷体_GB2312"/>
                <w:sz w:val="22"/>
              </w:rPr>
              <w:t>（请选择一项在相应□内划√）</w:t>
            </w:r>
          </w:p>
        </w:tc>
        <w:tc>
          <w:tcPr>
            <w:tcW w:w="542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A</w:t>
            </w:r>
            <w:r>
              <w:rPr>
                <w:rFonts w:hint="eastAsia" w:ascii="仿宋_GB2312" w:eastAsia="仿宋_GB2312"/>
                <w:b/>
                <w:sz w:val="24"/>
              </w:rPr>
              <w:t>优秀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≥90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□</w:t>
            </w:r>
            <w:r>
              <w:rPr>
                <w:rFonts w:eastAsia="仿宋_GB2312"/>
                <w:b/>
                <w:sz w:val="24"/>
              </w:rPr>
              <w:t>B</w:t>
            </w:r>
            <w:r>
              <w:rPr>
                <w:rFonts w:hint="eastAsia" w:ascii="仿宋_GB2312" w:eastAsia="仿宋_GB2312"/>
                <w:b/>
                <w:sz w:val="24"/>
              </w:rPr>
              <w:t>良好</w:t>
            </w:r>
            <w:r>
              <w:rPr>
                <w:rFonts w:eastAsia="仿宋_GB2312"/>
                <w:sz w:val="24"/>
              </w:rPr>
              <w:t>（80-89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C</w:t>
            </w:r>
            <w:r>
              <w:rPr>
                <w:rFonts w:hint="eastAsia" w:ascii="仿宋_GB2312" w:eastAsia="仿宋_GB2312"/>
                <w:b/>
                <w:sz w:val="24"/>
              </w:rPr>
              <w:t>合格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60-7</w:t>
            </w: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□</w:t>
            </w:r>
            <w:r>
              <w:rPr>
                <w:rFonts w:eastAsia="仿宋_GB2312"/>
                <w:b/>
                <w:sz w:val="24"/>
              </w:rPr>
              <w:t>D</w:t>
            </w:r>
            <w:r>
              <w:rPr>
                <w:rFonts w:hint="eastAsia" w:ascii="仿宋_GB2312" w:eastAsia="仿宋_GB2312"/>
                <w:b/>
                <w:sz w:val="24"/>
              </w:rPr>
              <w:t>不合格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＜60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2" w:hRule="atLeast"/>
        </w:trPr>
        <w:tc>
          <w:tcPr>
            <w:tcW w:w="9133" w:type="dxa"/>
            <w:gridSpan w:val="8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评阅意见和修改建议：</w:t>
            </w:r>
            <w:r>
              <w:rPr>
                <w:rFonts w:hint="eastAsia" w:ascii="宋体" w:hAnsi="宋体"/>
                <w:b/>
                <w:sz w:val="24"/>
              </w:rPr>
              <w:t>（此项可另加附页）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（如有抄袭、造假等学术失范之处，请详细说明。）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ind w:hanging="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评阅结果</w:t>
            </w:r>
            <w:r>
              <w:rPr>
                <w:rFonts w:hint="eastAsia" w:ascii="宋体" w:hAnsi="宋体"/>
                <w:sz w:val="24"/>
              </w:rPr>
              <w:t>（请在相应的序号上划</w:t>
            </w:r>
            <w:r>
              <w:rPr>
                <w:rFonts w:hint="eastAsia" w:ascii="宋体" w:hAnsi="宋体"/>
                <w:sz w:val="24"/>
                <w:szCs w:val="28"/>
              </w:rPr>
              <w:t>○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after="0" w:line="240" w:lineRule="auto"/>
              <w:ind w:left="238" w:hanging="11"/>
              <w:rPr>
                <w:rFonts w:ascii="仿宋_GB2312" w:hAnsi="宋体" w:eastAsia="仿宋_GB2312"/>
                <w:sz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可以答辩。         </w:t>
            </w: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ascii="仿宋_GB2312" w:hAnsi="宋体" w:eastAsia="仿宋_GB2312"/>
                <w:sz w:val="24"/>
              </w:rPr>
              <w:t>修改后答辩。</w:t>
            </w:r>
          </w:p>
          <w:p>
            <w:pPr>
              <w:snapToGrid w:val="0"/>
              <w:spacing w:after="0" w:line="240" w:lineRule="auto"/>
              <w:ind w:left="240" w:hanging="11"/>
              <w:rPr>
                <w:rFonts w:ascii="仿宋_GB2312" w:hAnsi="宋体"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宋体" w:eastAsia="仿宋_GB2312"/>
                <w:sz w:val="24"/>
              </w:rPr>
              <w:t>论文未达到硕士专业学位论文水平，不能答辩。</w:t>
            </w:r>
          </w:p>
          <w:p>
            <w:pPr>
              <w:snapToGrid w:val="0"/>
              <w:spacing w:after="0" w:line="240" w:lineRule="auto"/>
              <w:ind w:left="240" w:hanging="1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评阅日期：       年    月    日 （单位公章）</w:t>
            </w:r>
          </w:p>
        </w:tc>
      </w:tr>
    </w:tbl>
    <w:p>
      <w:pPr>
        <w:spacing w:afterLines="5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评阅专家简要信息：</w:t>
      </w:r>
    </w:p>
    <w:p>
      <w:pPr>
        <w:spacing w:afterLines="5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评阅专家姓名：</w:t>
      </w:r>
      <w:r>
        <w:rPr>
          <w:rFonts w:hint="eastAsia" w:eastAsia="仿宋_GB2312"/>
          <w:sz w:val="22"/>
          <w:u w:val="single"/>
        </w:rPr>
        <w:t>　　　　　　　           　</w:t>
      </w:r>
      <w:r>
        <w:rPr>
          <w:rFonts w:hint="eastAsia" w:ascii="仿宋_GB2312" w:eastAsia="仿宋_GB2312"/>
          <w:sz w:val="22"/>
        </w:rPr>
        <w:t>　职称：</w:t>
      </w:r>
      <w:r>
        <w:rPr>
          <w:rFonts w:hint="eastAsia" w:eastAsia="仿宋_GB2312"/>
          <w:sz w:val="22"/>
          <w:u w:val="single"/>
        </w:rPr>
        <w:t>　　　                        　　 　　</w:t>
      </w:r>
      <w:r>
        <w:rPr>
          <w:rFonts w:hint="eastAsia" w:ascii="仿宋_GB2312" w:eastAsia="仿宋_GB2312"/>
          <w:sz w:val="22"/>
        </w:rPr>
        <w:t>　</w:t>
      </w:r>
    </w:p>
    <w:p>
      <w:pPr>
        <w:spacing w:afterLines="50"/>
        <w:rPr>
          <w:rFonts w:hint="eastAsia" w:eastAsia="仿宋_GB2312"/>
          <w:sz w:val="22"/>
          <w:u w:val="single"/>
        </w:rPr>
      </w:pPr>
      <w:r>
        <w:rPr>
          <w:rFonts w:hint="eastAsia" w:ascii="仿宋_GB2312" w:eastAsia="仿宋_GB2312"/>
          <w:sz w:val="22"/>
        </w:rPr>
        <w:t>所在单位（含院系所）：</w:t>
      </w:r>
      <w:r>
        <w:rPr>
          <w:rFonts w:hint="eastAsia" w:eastAsia="仿宋_GB2312"/>
          <w:sz w:val="22"/>
          <w:u w:val="single"/>
        </w:rPr>
        <w:t>　　　　　　　　　　</w:t>
      </w:r>
      <w:r>
        <w:rPr>
          <w:rFonts w:hint="eastAsia" w:eastAsia="仿宋_GB2312"/>
          <w:sz w:val="22"/>
          <w:u w:val="single"/>
          <w:lang w:val="en-US" w:eastAsia="zh-CN"/>
        </w:rPr>
        <w:t xml:space="preserve">                              </w:t>
      </w:r>
      <w:r>
        <w:rPr>
          <w:rFonts w:hint="eastAsia" w:eastAsia="仿宋_GB2312"/>
          <w:sz w:val="22"/>
          <w:u w:val="single"/>
        </w:rPr>
        <w:t xml:space="preserve">　　　　 </w:t>
      </w:r>
    </w:p>
    <w:p>
      <w:pPr>
        <w:spacing w:afterLines="50"/>
        <w:rPr>
          <w:rFonts w:hint="eastAsia" w:eastAsia="仿宋_GB2312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2"/>
        </w:rPr>
        <w:t>从事专业学位领域（方向）：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eastAsia="仿宋_GB2312"/>
          <w:sz w:val="22"/>
        </w:rPr>
        <w:t>是否专业学位导师：</w:t>
      </w:r>
      <w:r>
        <w:rPr>
          <w:rFonts w:hint="eastAsia" w:eastAsia="仿宋_GB2312"/>
          <w:sz w:val="22"/>
          <w:u w:val="single"/>
          <w:lang w:val="en-US" w:eastAsia="zh-CN"/>
        </w:rPr>
        <w:t xml:space="preserve"> 是□ 否□            </w:t>
      </w:r>
    </w:p>
    <w:sectPr>
      <w:pgSz w:w="11906" w:h="16838"/>
      <w:pgMar w:top="1440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549B"/>
    <w:multiLevelType w:val="multilevel"/>
    <w:tmpl w:val="2F72549B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  <w:b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374"/>
    <w:rsid w:val="00053D72"/>
    <w:rsid w:val="001A6E0F"/>
    <w:rsid w:val="001D705F"/>
    <w:rsid w:val="005416F4"/>
    <w:rsid w:val="005B1519"/>
    <w:rsid w:val="007B6CB2"/>
    <w:rsid w:val="00805374"/>
    <w:rsid w:val="00855D63"/>
    <w:rsid w:val="008D1805"/>
    <w:rsid w:val="00B0025F"/>
    <w:rsid w:val="00BD6D86"/>
    <w:rsid w:val="00DD3F1E"/>
    <w:rsid w:val="00EF08AB"/>
    <w:rsid w:val="01AF2182"/>
    <w:rsid w:val="03725A9D"/>
    <w:rsid w:val="03BD4FA7"/>
    <w:rsid w:val="042D04EA"/>
    <w:rsid w:val="04B019FA"/>
    <w:rsid w:val="04CC440B"/>
    <w:rsid w:val="04ED3BDC"/>
    <w:rsid w:val="0CB04499"/>
    <w:rsid w:val="0D4E267D"/>
    <w:rsid w:val="0D6F3597"/>
    <w:rsid w:val="139A4BFB"/>
    <w:rsid w:val="148B1B53"/>
    <w:rsid w:val="162B7387"/>
    <w:rsid w:val="174336F2"/>
    <w:rsid w:val="1852534F"/>
    <w:rsid w:val="18AD7FB1"/>
    <w:rsid w:val="1D5E1A14"/>
    <w:rsid w:val="1DB101AC"/>
    <w:rsid w:val="1E020DB2"/>
    <w:rsid w:val="20B46A8A"/>
    <w:rsid w:val="20C65439"/>
    <w:rsid w:val="20CD02DA"/>
    <w:rsid w:val="20F4045E"/>
    <w:rsid w:val="22107027"/>
    <w:rsid w:val="225411DC"/>
    <w:rsid w:val="26190D32"/>
    <w:rsid w:val="266473A2"/>
    <w:rsid w:val="26AA777C"/>
    <w:rsid w:val="28BB20F1"/>
    <w:rsid w:val="29063804"/>
    <w:rsid w:val="2964225B"/>
    <w:rsid w:val="2BBE4EE9"/>
    <w:rsid w:val="2C49436A"/>
    <w:rsid w:val="2C6A2730"/>
    <w:rsid w:val="32DA5669"/>
    <w:rsid w:val="32EF5581"/>
    <w:rsid w:val="33242CB3"/>
    <w:rsid w:val="337D0C7C"/>
    <w:rsid w:val="348E01D8"/>
    <w:rsid w:val="34BB55BC"/>
    <w:rsid w:val="377F0CD0"/>
    <w:rsid w:val="3B4F0F81"/>
    <w:rsid w:val="3C6C4620"/>
    <w:rsid w:val="3D012573"/>
    <w:rsid w:val="3F040F19"/>
    <w:rsid w:val="403B301F"/>
    <w:rsid w:val="410357BB"/>
    <w:rsid w:val="41632D91"/>
    <w:rsid w:val="41791A0D"/>
    <w:rsid w:val="423E15DB"/>
    <w:rsid w:val="42771F59"/>
    <w:rsid w:val="42914722"/>
    <w:rsid w:val="44113485"/>
    <w:rsid w:val="445E6DA8"/>
    <w:rsid w:val="45461C88"/>
    <w:rsid w:val="4796622C"/>
    <w:rsid w:val="485F1641"/>
    <w:rsid w:val="49946A58"/>
    <w:rsid w:val="4B011626"/>
    <w:rsid w:val="4B0907EA"/>
    <w:rsid w:val="4BFE0088"/>
    <w:rsid w:val="4DBE2D8E"/>
    <w:rsid w:val="4F01687D"/>
    <w:rsid w:val="4F6B459A"/>
    <w:rsid w:val="50D9255E"/>
    <w:rsid w:val="51CE1551"/>
    <w:rsid w:val="52B70028"/>
    <w:rsid w:val="53BF3A29"/>
    <w:rsid w:val="54323306"/>
    <w:rsid w:val="54CB4C5B"/>
    <w:rsid w:val="55FA7B79"/>
    <w:rsid w:val="58AE70FB"/>
    <w:rsid w:val="59927D6A"/>
    <w:rsid w:val="5B15725C"/>
    <w:rsid w:val="5D123158"/>
    <w:rsid w:val="5D395203"/>
    <w:rsid w:val="5F781B00"/>
    <w:rsid w:val="607E29C6"/>
    <w:rsid w:val="616471CC"/>
    <w:rsid w:val="62025A62"/>
    <w:rsid w:val="63537ADA"/>
    <w:rsid w:val="65EB3343"/>
    <w:rsid w:val="6604549B"/>
    <w:rsid w:val="696B2A21"/>
    <w:rsid w:val="698031E5"/>
    <w:rsid w:val="699069A3"/>
    <w:rsid w:val="6A743A4C"/>
    <w:rsid w:val="6AF12EFA"/>
    <w:rsid w:val="6BB23652"/>
    <w:rsid w:val="6C7733A9"/>
    <w:rsid w:val="6CB35AA6"/>
    <w:rsid w:val="6D5A386D"/>
    <w:rsid w:val="6DCF6C04"/>
    <w:rsid w:val="6F0B2307"/>
    <w:rsid w:val="72CC169F"/>
    <w:rsid w:val="73FE6F14"/>
    <w:rsid w:val="7538549A"/>
    <w:rsid w:val="76FC2A95"/>
    <w:rsid w:val="79573157"/>
    <w:rsid w:val="7A911468"/>
    <w:rsid w:val="7A947073"/>
    <w:rsid w:val="7BCF00DC"/>
    <w:rsid w:val="7C166B15"/>
    <w:rsid w:val="7CC155A1"/>
    <w:rsid w:val="7CCE0304"/>
    <w:rsid w:val="7E90558A"/>
    <w:rsid w:val="7EEF5895"/>
    <w:rsid w:val="7F112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1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59" w:line="259" w:lineRule="auto"/>
      <w:ind w:left="651" w:hanging="10"/>
      <w:outlineLvl w:val="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ind w:left="102"/>
    </w:pPr>
    <w:rPr>
      <w:rFonts w:ascii="Arial Unicode MS" w:hAnsi="Arial Unicode MS" w:eastAsia="Arial Unicode MS" w:cs="Arial Unicode MS"/>
      <w:lang w:val="zh-CN" w:bidi="zh-CN"/>
    </w:rPr>
  </w:style>
  <w:style w:type="paragraph" w:styleId="9">
    <w:name w:val="List Paragraph"/>
    <w:basedOn w:val="1"/>
    <w:qFormat/>
    <w:uiPriority w:val="1"/>
    <w:pPr>
      <w:spacing w:line="312" w:lineRule="exact"/>
      <w:ind w:left="895" w:hanging="360"/>
    </w:pPr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2206</Words>
  <Characters>328</Characters>
  <Lines>2</Lines>
  <Paragraphs>5</Paragraphs>
  <TotalTime>15</TotalTime>
  <ScaleCrop>false</ScaleCrop>
  <LinksUpToDate>false</LinksUpToDate>
  <CharactersWithSpaces>2529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2019-01-14T03:27:00Z</dcterms:created>
  <dc:creator>dell</dc:creator>
  <cp:lastModifiedBy>zhangaimin</cp:lastModifiedBy>
  <dcterms:modified xsi:type="dcterms:W3CDTF">2019-03-07T01:24:04Z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